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84" w:rsidRDefault="00A161F5">
      <w:pPr>
        <w:tabs>
          <w:tab w:val="center" w:pos="5185"/>
          <w:tab w:val="right" w:pos="10401"/>
        </w:tabs>
        <w:spacing w:after="33" w:line="259" w:lineRule="auto"/>
        <w:ind w:left="-487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5228844</wp:posOffset>
            </wp:positionH>
            <wp:positionV relativeFrom="paragraph">
              <wp:posOffset>342900</wp:posOffset>
            </wp:positionV>
            <wp:extent cx="1342644" cy="44958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2644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868424" cy="1104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842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934212" cy="961644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4212" cy="96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AA0F84" w:rsidRDefault="00A161F5">
      <w:pPr>
        <w:spacing w:after="0" w:line="259" w:lineRule="auto"/>
        <w:ind w:left="12" w:firstLine="0"/>
        <w:jc w:val="center"/>
      </w:pPr>
      <w:r>
        <w:rPr>
          <w:rFonts w:ascii="Cambria" w:eastAsia="Cambria" w:hAnsi="Cambria" w:cs="Cambria"/>
          <w:i/>
          <w:color w:val="17365D"/>
          <w:sz w:val="28"/>
        </w:rPr>
        <w:t xml:space="preserve"> </w:t>
      </w:r>
    </w:p>
    <w:p w:rsidR="00AA0F84" w:rsidRDefault="00A161F5">
      <w:pPr>
        <w:spacing w:after="122" w:line="259" w:lineRule="auto"/>
        <w:ind w:left="0" w:right="61" w:firstLine="0"/>
        <w:jc w:val="center"/>
      </w:pPr>
      <w:r>
        <w:rPr>
          <w:rFonts w:ascii="Cambria" w:eastAsia="Cambria" w:hAnsi="Cambria" w:cs="Cambria"/>
          <w:i/>
          <w:color w:val="17365D"/>
          <w:sz w:val="28"/>
        </w:rPr>
        <w:t xml:space="preserve">ИНФОРМАЦИОННОЕ ПИСЬМО </w:t>
      </w:r>
    </w:p>
    <w:p w:rsidR="00AA0F84" w:rsidRDefault="00A161F5">
      <w:pPr>
        <w:spacing w:after="146" w:line="259" w:lineRule="auto"/>
        <w:ind w:left="0" w:firstLine="0"/>
        <w:jc w:val="left"/>
      </w:pPr>
      <w:r>
        <w:rPr>
          <w:rFonts w:ascii="Cambria" w:eastAsia="Cambria" w:hAnsi="Cambria" w:cs="Cambria"/>
          <w:i/>
          <w:color w:val="17365D"/>
          <w:sz w:val="44"/>
        </w:rPr>
        <w:t xml:space="preserve"> </w:t>
      </w:r>
    </w:p>
    <w:p w:rsidR="00AA0F84" w:rsidRDefault="00A161F5">
      <w:pPr>
        <w:spacing w:after="0" w:line="259" w:lineRule="auto"/>
        <w:ind w:right="60"/>
        <w:jc w:val="center"/>
      </w:pPr>
      <w:r>
        <w:rPr>
          <w:rFonts w:ascii="Cambria" w:eastAsia="Cambria" w:hAnsi="Cambria" w:cs="Cambria"/>
          <w:i/>
          <w:color w:val="244061"/>
          <w:sz w:val="52"/>
        </w:rPr>
        <w:t>II</w:t>
      </w:r>
      <w:r>
        <w:rPr>
          <w:rFonts w:ascii="Georgia" w:eastAsia="Georgia" w:hAnsi="Georgia" w:cs="Georgia"/>
          <w:i/>
          <w:color w:val="020202"/>
          <w:sz w:val="52"/>
        </w:rPr>
        <w:t xml:space="preserve"> </w:t>
      </w:r>
      <w:r>
        <w:rPr>
          <w:rFonts w:ascii="Cambria" w:eastAsia="Cambria" w:hAnsi="Cambria" w:cs="Cambria"/>
          <w:i/>
          <w:color w:val="17365D"/>
          <w:sz w:val="36"/>
        </w:rPr>
        <w:t xml:space="preserve">Международный конгресс </w:t>
      </w:r>
    </w:p>
    <w:p w:rsidR="00AA0F84" w:rsidRDefault="00A161F5">
      <w:pPr>
        <w:spacing w:after="0" w:line="259" w:lineRule="auto"/>
        <w:ind w:right="58"/>
        <w:jc w:val="center"/>
      </w:pPr>
      <w:r>
        <w:rPr>
          <w:rFonts w:ascii="Cambria" w:eastAsia="Cambria" w:hAnsi="Cambria" w:cs="Cambria"/>
          <w:i/>
          <w:color w:val="17365D"/>
          <w:sz w:val="36"/>
        </w:rPr>
        <w:t xml:space="preserve">«HEALTH AGЕ. АКТИВНОЕ ДОЛГОЛЕТИЕ» </w:t>
      </w:r>
    </w:p>
    <w:p w:rsidR="00AA0F84" w:rsidRDefault="00A161F5">
      <w:pPr>
        <w:spacing w:after="528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09334" cy="12192"/>
                <wp:effectExtent l="0" t="0" r="0" b="0"/>
                <wp:docPr id="1992" name="Group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334" cy="12192"/>
                          <a:chOff x="0" y="0"/>
                          <a:chExt cx="6609334" cy="12192"/>
                        </a:xfrm>
                      </wpg:grpSpPr>
                      <wps:wsp>
                        <wps:cNvPr id="2400" name="Shape 2400"/>
                        <wps:cNvSpPr/>
                        <wps:spPr>
                          <a:xfrm>
                            <a:off x="0" y="0"/>
                            <a:ext cx="66093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9334" h="12192">
                                <a:moveTo>
                                  <a:pt x="0" y="0"/>
                                </a:moveTo>
                                <a:lnTo>
                                  <a:pt x="6609334" y="0"/>
                                </a:lnTo>
                                <a:lnTo>
                                  <a:pt x="66093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2" style="width:520.42pt;height:0.959961pt;mso-position-horizontal-relative:char;mso-position-vertical-relative:line" coordsize="66093,121">
                <v:shape id="Shape 2401" style="position:absolute;width:66093;height:121;left:0;top:0;" coordsize="6609334,12192" path="m0,0l6609334,0l660933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AA0F84" w:rsidRDefault="00A161F5">
      <w:pPr>
        <w:spacing w:after="272" w:line="259" w:lineRule="auto"/>
        <w:ind w:left="-5"/>
        <w:jc w:val="left"/>
      </w:pPr>
      <w:r>
        <w:rPr>
          <w:b/>
        </w:rPr>
        <w:t>Дата проведения:</w:t>
      </w:r>
      <w:r>
        <w:t xml:space="preserve"> 28 мая 2020 года </w:t>
      </w:r>
    </w:p>
    <w:p w:rsidR="00AA0F84" w:rsidRDefault="00A161F5">
      <w:pPr>
        <w:spacing w:after="214"/>
        <w:ind w:left="-5" w:right="39"/>
      </w:pPr>
      <w:r>
        <w:rPr>
          <w:b/>
        </w:rPr>
        <w:t>Место проведения:</w:t>
      </w:r>
      <w:r>
        <w:t xml:space="preserve"> Конгресс-центр Первого Московского государственного </w:t>
      </w:r>
      <w:proofErr w:type="gramStart"/>
      <w:r>
        <w:t xml:space="preserve">медицинского  </w:t>
      </w:r>
      <w:r>
        <w:t>университета</w:t>
      </w:r>
      <w:proofErr w:type="gramEnd"/>
      <w:r>
        <w:t xml:space="preserve"> имени И.М. Сеченова, г. Москва, ул. Трубецкая, д. 8 </w:t>
      </w:r>
    </w:p>
    <w:p w:rsidR="00AA0F84" w:rsidRDefault="00A161F5">
      <w:pPr>
        <w:spacing w:after="20" w:line="320" w:lineRule="auto"/>
        <w:ind w:left="-5"/>
        <w:jc w:val="left"/>
      </w:pPr>
      <w:r>
        <w:t>Конгресс состоится при взаимодействии</w:t>
      </w:r>
      <w:r>
        <w:rPr>
          <w:b/>
        </w:rPr>
        <w:t xml:space="preserve"> </w:t>
      </w:r>
      <w:r>
        <w:rPr>
          <w:b/>
          <w:sz w:val="25"/>
        </w:rPr>
        <w:t>Комитета Совета Федерации по социальной политике</w:t>
      </w:r>
      <w:r>
        <w:rPr>
          <w:b/>
        </w:rPr>
        <w:t xml:space="preserve"> и Первого МГМУ им И.М. Сеченова </w:t>
      </w:r>
      <w:r>
        <w:t>в рамках исполнения</w:t>
      </w:r>
      <w:r>
        <w:rPr>
          <w:b/>
        </w:rPr>
        <w:t xml:space="preserve"> </w:t>
      </w:r>
      <w:r>
        <w:t>Указа Президента Российской Федерации №204</w:t>
      </w:r>
      <w:r>
        <w:rPr>
          <w:b/>
        </w:rPr>
        <w:t xml:space="preserve"> «О нацио</w:t>
      </w:r>
      <w:r>
        <w:rPr>
          <w:b/>
        </w:rPr>
        <w:t>нальных целях и стратегических задачах развития Российской Федерации на период до 2024 года»</w:t>
      </w:r>
      <w:r>
        <w:t xml:space="preserve"> </w:t>
      </w:r>
    </w:p>
    <w:p w:rsidR="00AA0F84" w:rsidRDefault="00A161F5">
      <w:pPr>
        <w:spacing w:after="80" w:line="259" w:lineRule="auto"/>
        <w:ind w:left="0" w:firstLine="0"/>
        <w:jc w:val="left"/>
      </w:pPr>
      <w:r>
        <w:t xml:space="preserve"> </w:t>
      </w:r>
    </w:p>
    <w:p w:rsidR="00AA0F84" w:rsidRDefault="00A161F5">
      <w:pPr>
        <w:spacing w:after="57" w:line="259" w:lineRule="auto"/>
        <w:ind w:left="-5"/>
        <w:jc w:val="left"/>
      </w:pPr>
      <w:r>
        <w:rPr>
          <w:b/>
        </w:rPr>
        <w:t xml:space="preserve">При поддержке: </w:t>
      </w:r>
    </w:p>
    <w:p w:rsidR="00AA0F84" w:rsidRDefault="00A161F5">
      <w:pPr>
        <w:numPr>
          <w:ilvl w:val="0"/>
          <w:numId w:val="1"/>
        </w:numPr>
        <w:spacing w:after="21"/>
        <w:ind w:left="496" w:hanging="151"/>
        <w:jc w:val="left"/>
      </w:pPr>
      <w:r>
        <w:t xml:space="preserve">Министерства Здравоохранения РФ </w:t>
      </w:r>
    </w:p>
    <w:p w:rsidR="00AA0F84" w:rsidRDefault="00A161F5">
      <w:pPr>
        <w:numPr>
          <w:ilvl w:val="0"/>
          <w:numId w:val="1"/>
        </w:numPr>
        <w:spacing w:after="61" w:line="259" w:lineRule="auto"/>
        <w:ind w:left="496" w:hanging="151"/>
        <w:jc w:val="left"/>
      </w:pPr>
      <w:r>
        <w:rPr>
          <w:sz w:val="25"/>
        </w:rPr>
        <w:t xml:space="preserve">Министерства образования Российской Федерации </w:t>
      </w:r>
    </w:p>
    <w:p w:rsidR="00AA0F84" w:rsidRDefault="00A161F5">
      <w:pPr>
        <w:spacing w:after="61" w:line="259" w:lineRule="auto"/>
        <w:jc w:val="left"/>
      </w:pPr>
      <w:r>
        <w:rPr>
          <w:sz w:val="25"/>
        </w:rPr>
        <w:t xml:space="preserve">      -Министерства промышленности и торговли РФ </w:t>
      </w:r>
    </w:p>
    <w:p w:rsidR="00AA0F84" w:rsidRDefault="00A161F5">
      <w:pPr>
        <w:spacing w:after="61" w:line="259" w:lineRule="auto"/>
        <w:jc w:val="left"/>
      </w:pPr>
      <w:r>
        <w:rPr>
          <w:sz w:val="25"/>
        </w:rPr>
        <w:t xml:space="preserve">      -</w:t>
      </w:r>
      <w:r>
        <w:rPr>
          <w:sz w:val="25"/>
        </w:rPr>
        <w:t xml:space="preserve">Министерства труда РФ </w:t>
      </w:r>
    </w:p>
    <w:p w:rsidR="00AA0F84" w:rsidRDefault="00A161F5">
      <w:pPr>
        <w:numPr>
          <w:ilvl w:val="0"/>
          <w:numId w:val="1"/>
        </w:numPr>
        <w:spacing w:after="61" w:line="259" w:lineRule="auto"/>
        <w:ind w:left="496" w:hanging="151"/>
        <w:jc w:val="left"/>
      </w:pPr>
      <w:r>
        <w:rPr>
          <w:sz w:val="25"/>
        </w:rPr>
        <w:t xml:space="preserve">Общественной палаты РФ </w:t>
      </w:r>
    </w:p>
    <w:p w:rsidR="00AA0F84" w:rsidRDefault="00A161F5">
      <w:pPr>
        <w:numPr>
          <w:ilvl w:val="0"/>
          <w:numId w:val="1"/>
        </w:numPr>
        <w:spacing w:after="8"/>
        <w:ind w:left="496" w:hanging="151"/>
        <w:jc w:val="left"/>
      </w:pPr>
      <w:r>
        <w:rPr>
          <w:sz w:val="25"/>
        </w:rPr>
        <w:t>ФГБУН «</w:t>
      </w:r>
      <w:r>
        <w:t xml:space="preserve">Федерального исследовательского центра питания, биотехнологии и безопасности пищи»  </w:t>
      </w:r>
    </w:p>
    <w:p w:rsidR="00AA0F84" w:rsidRDefault="00A161F5">
      <w:pPr>
        <w:numPr>
          <w:ilvl w:val="0"/>
          <w:numId w:val="1"/>
        </w:numPr>
        <w:spacing w:after="12"/>
        <w:ind w:left="496" w:hanging="151"/>
        <w:jc w:val="left"/>
      </w:pPr>
      <w:r>
        <w:t>Общероссийской общественной организации «Российская ассоциация по спортивной медицине и реабилитации больных и инвали</w:t>
      </w:r>
      <w:r>
        <w:t xml:space="preserve">дов» </w:t>
      </w:r>
    </w:p>
    <w:p w:rsidR="00AA0F84" w:rsidRDefault="00A161F5">
      <w:pPr>
        <w:spacing w:after="61" w:line="259" w:lineRule="auto"/>
        <w:ind w:left="355"/>
        <w:jc w:val="left"/>
      </w:pPr>
      <w:r>
        <w:rPr>
          <w:sz w:val="25"/>
        </w:rPr>
        <w:t xml:space="preserve">-ФГБУ "Национального медицинского исследовательского центра реабилитации и курортологии" </w:t>
      </w:r>
    </w:p>
    <w:p w:rsidR="00AA0F84" w:rsidRDefault="00A161F5">
      <w:pPr>
        <w:numPr>
          <w:ilvl w:val="0"/>
          <w:numId w:val="1"/>
        </w:numPr>
        <w:spacing w:after="61" w:line="259" w:lineRule="auto"/>
        <w:ind w:left="496" w:hanging="151"/>
        <w:jc w:val="left"/>
      </w:pPr>
      <w:r>
        <w:rPr>
          <w:sz w:val="25"/>
        </w:rPr>
        <w:t xml:space="preserve">Российской Ассоциации </w:t>
      </w:r>
      <w:proofErr w:type="spellStart"/>
      <w:r>
        <w:rPr>
          <w:sz w:val="25"/>
        </w:rPr>
        <w:t>Маммологов</w:t>
      </w:r>
      <w:proofErr w:type="spellEnd"/>
      <w:r>
        <w:rPr>
          <w:sz w:val="25"/>
        </w:rPr>
        <w:t xml:space="preserve"> </w:t>
      </w:r>
    </w:p>
    <w:p w:rsidR="00AA0F84" w:rsidRDefault="00A161F5">
      <w:pPr>
        <w:numPr>
          <w:ilvl w:val="0"/>
          <w:numId w:val="1"/>
        </w:numPr>
        <w:spacing w:after="61" w:line="259" w:lineRule="auto"/>
        <w:ind w:left="496" w:hanging="151"/>
        <w:jc w:val="left"/>
      </w:pPr>
      <w:r>
        <w:rPr>
          <w:sz w:val="25"/>
        </w:rPr>
        <w:t xml:space="preserve">Российского геронтологического научно-клинического центра </w:t>
      </w:r>
    </w:p>
    <w:p w:rsidR="00AA0F84" w:rsidRDefault="00A161F5">
      <w:pPr>
        <w:numPr>
          <w:ilvl w:val="0"/>
          <w:numId w:val="1"/>
        </w:numPr>
        <w:spacing w:after="61" w:line="259" w:lineRule="auto"/>
        <w:ind w:left="496" w:hanging="151"/>
        <w:jc w:val="left"/>
      </w:pPr>
      <w:r>
        <w:rPr>
          <w:sz w:val="25"/>
        </w:rPr>
        <w:t>Института пластической хирургии и косметологии</w:t>
      </w:r>
      <w:r>
        <w:t xml:space="preserve"> </w:t>
      </w:r>
    </w:p>
    <w:p w:rsidR="00AA0F84" w:rsidRDefault="00A161F5">
      <w:pPr>
        <w:numPr>
          <w:ilvl w:val="0"/>
          <w:numId w:val="1"/>
        </w:numPr>
        <w:spacing w:after="9"/>
        <w:ind w:left="496" w:hanging="151"/>
        <w:jc w:val="left"/>
      </w:pPr>
      <w:r>
        <w:t xml:space="preserve">Международного общества по изучению современных репродуктивных технологий и проблем брака, материнства, отцовства и детства «ЗДОРОВАЯ СЕМЬЯ» </w:t>
      </w:r>
    </w:p>
    <w:p w:rsidR="00AA0F84" w:rsidRDefault="00A161F5">
      <w:pPr>
        <w:spacing w:after="71" w:line="259" w:lineRule="auto"/>
        <w:ind w:left="720" w:firstLine="0"/>
        <w:jc w:val="left"/>
      </w:pPr>
      <w:r>
        <w:t xml:space="preserve"> </w:t>
      </w:r>
    </w:p>
    <w:p w:rsidR="00AA0F84" w:rsidRDefault="00A161F5">
      <w:pPr>
        <w:spacing w:after="162"/>
        <w:ind w:left="-5" w:right="39"/>
      </w:pPr>
      <w:r>
        <w:rPr>
          <w:b/>
        </w:rPr>
        <w:t>Формат конгресса</w:t>
      </w:r>
      <w:r>
        <w:t xml:space="preserve">: пленарное заседание, секции, круглые столы и </w:t>
      </w:r>
      <w:proofErr w:type="spellStart"/>
      <w:r>
        <w:t>сателлитные</w:t>
      </w:r>
      <w:proofErr w:type="spellEnd"/>
      <w:r>
        <w:t xml:space="preserve"> симпозиумы по различным направлениям </w:t>
      </w:r>
      <w:r>
        <w:t>параллельно в различных аудиториях. Планируется сочетание научных лекций с включением видеоматериалов и организаций трансляции.</w:t>
      </w:r>
      <w:r>
        <w:rPr>
          <w:i/>
          <w:color w:val="222222"/>
        </w:rPr>
        <w:t xml:space="preserve"> </w:t>
      </w:r>
    </w:p>
    <w:p w:rsidR="00AA0F84" w:rsidRDefault="00A161F5">
      <w:pPr>
        <w:spacing w:after="29"/>
        <w:ind w:left="-5" w:right="39"/>
      </w:pPr>
      <w:r>
        <w:rPr>
          <w:b/>
        </w:rPr>
        <w:lastRenderedPageBreak/>
        <w:t xml:space="preserve">Цель: </w:t>
      </w:r>
      <w:r>
        <w:t>создание междисциплинарной площадки для обсуждения целей и задач, отраженных в майском Указе Президента Российской Федера</w:t>
      </w:r>
      <w:r>
        <w:t xml:space="preserve">ции N 204 «О национальных целях и стратегических задачах развития Российской Федерации на период до 2024 года», в первую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очередь: обеспечение естественного устойчивого роста </w:t>
      </w:r>
      <w:proofErr w:type="gramStart"/>
      <w:r>
        <w:t xml:space="preserve">численности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proofErr w:type="gramEnd"/>
      <w:r>
        <w:t>населения Российской Федерации и повышение ожидаемой продолжительн</w:t>
      </w:r>
      <w:r>
        <w:t xml:space="preserve">ости жизни до 78 лет. </w:t>
      </w:r>
    </w:p>
    <w:p w:rsidR="00AA0F84" w:rsidRDefault="00A161F5">
      <w:pPr>
        <w:spacing w:after="34" w:line="259" w:lineRule="auto"/>
        <w:ind w:left="0" w:firstLine="0"/>
        <w:jc w:val="left"/>
      </w:pPr>
      <w:r>
        <w:t xml:space="preserve"> </w:t>
      </w:r>
    </w:p>
    <w:p w:rsidR="00AA0F84" w:rsidRDefault="00A161F5">
      <w:pPr>
        <w:spacing w:after="328" w:line="259" w:lineRule="auto"/>
        <w:ind w:left="-5"/>
        <w:jc w:val="left"/>
      </w:pPr>
      <w:r>
        <w:rPr>
          <w:b/>
        </w:rPr>
        <w:t xml:space="preserve">Председатели Конгресса:  </w:t>
      </w:r>
    </w:p>
    <w:p w:rsidR="00AA0F84" w:rsidRDefault="00A161F5">
      <w:pPr>
        <w:spacing w:after="210"/>
        <w:ind w:left="-5" w:right="39"/>
      </w:pPr>
      <w:proofErr w:type="spellStart"/>
      <w:r>
        <w:rPr>
          <w:b/>
        </w:rPr>
        <w:t>Каграманян</w:t>
      </w:r>
      <w:proofErr w:type="spellEnd"/>
      <w:r>
        <w:rPr>
          <w:b/>
        </w:rPr>
        <w:t xml:space="preserve"> Игорь Николаевич</w:t>
      </w:r>
      <w:r>
        <w:t>, первый заместитель председателя комитета Совета Федерации по социальной политике</w:t>
      </w:r>
      <w:r>
        <w:rPr>
          <w:b/>
        </w:rPr>
        <w:t xml:space="preserve">  </w:t>
      </w:r>
    </w:p>
    <w:p w:rsidR="00AA0F84" w:rsidRDefault="00A161F5">
      <w:pPr>
        <w:spacing w:after="0"/>
        <w:ind w:left="-5" w:right="39"/>
      </w:pPr>
      <w:proofErr w:type="spellStart"/>
      <w:r>
        <w:rPr>
          <w:b/>
        </w:rPr>
        <w:t>Глыбочко</w:t>
      </w:r>
      <w:proofErr w:type="spellEnd"/>
      <w:r>
        <w:rPr>
          <w:b/>
        </w:rPr>
        <w:t xml:space="preserve"> Петр Витальевич</w:t>
      </w:r>
      <w:r>
        <w:t>, ректор Первого Московского государственного медицинского университе</w:t>
      </w:r>
      <w:r>
        <w:t xml:space="preserve">та им. И.М. Сеченова, член Высшего совета партии «Единая Россия», академик РАН, д.м.н., профессор </w:t>
      </w:r>
    </w:p>
    <w:p w:rsidR="00AA0F84" w:rsidRDefault="00A161F5">
      <w:pPr>
        <w:spacing w:after="81" w:line="259" w:lineRule="auto"/>
        <w:ind w:left="0" w:firstLine="0"/>
        <w:jc w:val="left"/>
      </w:pPr>
      <w:r>
        <w:t xml:space="preserve"> </w:t>
      </w:r>
    </w:p>
    <w:p w:rsidR="00AA0F84" w:rsidRDefault="00A161F5">
      <w:pPr>
        <w:spacing w:after="20" w:line="259" w:lineRule="auto"/>
        <w:ind w:left="-5"/>
        <w:jc w:val="left"/>
      </w:pPr>
      <w:r>
        <w:rPr>
          <w:b/>
        </w:rPr>
        <w:t xml:space="preserve">Исполнительный директор Конгресса:  </w:t>
      </w:r>
    </w:p>
    <w:p w:rsidR="00AA0F84" w:rsidRDefault="00A161F5">
      <w:pPr>
        <w:spacing w:after="183" w:line="259" w:lineRule="auto"/>
        <w:ind w:left="0" w:firstLine="0"/>
        <w:jc w:val="left"/>
      </w:pPr>
      <w:r>
        <w:rPr>
          <w:b/>
        </w:rPr>
        <w:t xml:space="preserve"> </w:t>
      </w:r>
    </w:p>
    <w:p w:rsidR="00AA0F84" w:rsidRDefault="00A161F5">
      <w:pPr>
        <w:spacing w:after="9"/>
        <w:ind w:left="-5" w:right="39"/>
      </w:pPr>
      <w:r>
        <w:rPr>
          <w:b/>
        </w:rPr>
        <w:t>Рябов Андрей Анатольевич</w:t>
      </w:r>
      <w:r>
        <w:t xml:space="preserve">, управляющий партнер ООО «Мед Веб», основатель </w:t>
      </w:r>
      <w:proofErr w:type="spellStart"/>
      <w:r>
        <w:t>интернет</w:t>
      </w:r>
      <w:r>
        <w:t>портала</w:t>
      </w:r>
      <w:proofErr w:type="spellEnd"/>
      <w:r>
        <w:t xml:space="preserve"> «Врачи вместе», основатель портала «</w:t>
      </w:r>
      <w:proofErr w:type="spellStart"/>
      <w:r>
        <w:t>Doc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», МВА, к.э.н. </w:t>
      </w:r>
    </w:p>
    <w:p w:rsidR="00AA0F84" w:rsidRDefault="00A161F5">
      <w:pPr>
        <w:spacing w:after="29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A0F84" w:rsidRDefault="00A161F5">
      <w:pPr>
        <w:spacing w:after="215"/>
        <w:ind w:left="-5" w:right="39"/>
      </w:pPr>
      <w:r>
        <w:rPr>
          <w:b/>
        </w:rPr>
        <w:t xml:space="preserve">Целевая аудитория: </w:t>
      </w:r>
      <w:r>
        <w:t>главные врачи государственных и частных лечебно-профилактических учреждений, организаторы здравоохранения, директоры НИИ, заведующие отделениями, научные сотрудники</w:t>
      </w:r>
      <w:r>
        <w:t xml:space="preserve">, врачи и специалисты всех направлений медицины, фармацевты и представители аптек </w:t>
      </w:r>
    </w:p>
    <w:p w:rsidR="00AA0F84" w:rsidRDefault="00A161F5">
      <w:pPr>
        <w:spacing w:after="20" w:line="259" w:lineRule="auto"/>
        <w:ind w:left="-5"/>
        <w:jc w:val="left"/>
      </w:pPr>
      <w:r>
        <w:rPr>
          <w:b/>
        </w:rPr>
        <w:t>Ожидаемое количество участников</w:t>
      </w:r>
      <w:r>
        <w:t xml:space="preserve">: от 600 человек </w:t>
      </w:r>
    </w:p>
    <w:p w:rsidR="00AA0F84" w:rsidRDefault="00A161F5">
      <w:pPr>
        <w:spacing w:after="71" w:line="259" w:lineRule="auto"/>
        <w:ind w:left="0" w:firstLine="0"/>
        <w:jc w:val="left"/>
      </w:pPr>
      <w:r>
        <w:t xml:space="preserve"> </w:t>
      </w:r>
    </w:p>
    <w:p w:rsidR="00AA0F84" w:rsidRDefault="00A161F5">
      <w:pPr>
        <w:spacing w:after="214"/>
        <w:ind w:left="-5" w:right="39"/>
      </w:pPr>
      <w:r>
        <w:rPr>
          <w:b/>
        </w:rPr>
        <w:t>Выставочная экспозиция:</w:t>
      </w:r>
      <w:r>
        <w:rPr>
          <w:rFonts w:ascii="Calibri" w:eastAsia="Calibri" w:hAnsi="Calibri" w:cs="Calibri"/>
          <w:b/>
        </w:rPr>
        <w:t xml:space="preserve"> </w:t>
      </w:r>
      <w:r>
        <w:t>производители лекарственных препаратов, медицинского оборудования и материалов, производители фитн</w:t>
      </w:r>
      <w:r>
        <w:t xml:space="preserve">ес и спортивного оборудования. </w:t>
      </w:r>
    </w:p>
    <w:p w:rsidR="00AA0F84" w:rsidRDefault="00A161F5">
      <w:pPr>
        <w:spacing w:after="297" w:line="259" w:lineRule="auto"/>
        <w:ind w:left="-5"/>
        <w:jc w:val="left"/>
      </w:pPr>
      <w:r>
        <w:rPr>
          <w:b/>
        </w:rPr>
        <w:t xml:space="preserve">Основные темы Конгресса: </w:t>
      </w:r>
    </w:p>
    <w:p w:rsidR="00AA0F84" w:rsidRDefault="00A161F5">
      <w:pPr>
        <w:ind w:left="-5" w:right="39"/>
      </w:pPr>
      <w:r>
        <w:t xml:space="preserve">-Возраст-ассоциированные заболевания в различных направлениях медицины  </w:t>
      </w:r>
    </w:p>
    <w:p w:rsidR="00AA0F84" w:rsidRDefault="00A161F5">
      <w:pPr>
        <w:ind w:left="-5" w:right="39"/>
      </w:pPr>
      <w:r>
        <w:t xml:space="preserve">-Вопросы женского и мужского активного долголетия  </w:t>
      </w:r>
    </w:p>
    <w:p w:rsidR="00AA0F84" w:rsidRDefault="00A161F5">
      <w:pPr>
        <w:ind w:left="-5" w:right="39"/>
      </w:pPr>
      <w:r>
        <w:t xml:space="preserve">-Вакцинация и активное долголетие  </w:t>
      </w:r>
    </w:p>
    <w:p w:rsidR="00AA0F84" w:rsidRDefault="00A161F5">
      <w:pPr>
        <w:ind w:left="-5" w:right="39"/>
      </w:pPr>
      <w:r>
        <w:t>-</w:t>
      </w:r>
      <w:proofErr w:type="spellStart"/>
      <w:r>
        <w:t>Антивозрастная</w:t>
      </w:r>
      <w:proofErr w:type="spellEnd"/>
      <w:r>
        <w:t xml:space="preserve"> медицина, геронтология и гериатрия  </w:t>
      </w:r>
    </w:p>
    <w:p w:rsidR="00AA0F84" w:rsidRDefault="00A161F5">
      <w:pPr>
        <w:ind w:left="-5" w:right="39"/>
      </w:pPr>
      <w:r>
        <w:t xml:space="preserve">-Генетические аспекты долголетия </w:t>
      </w:r>
    </w:p>
    <w:p w:rsidR="00AA0F84" w:rsidRDefault="00A161F5">
      <w:pPr>
        <w:ind w:left="-5" w:right="39"/>
      </w:pPr>
      <w:r>
        <w:t>-</w:t>
      </w:r>
      <w:proofErr w:type="spellStart"/>
      <w:r>
        <w:t>Онкопрофилактика</w:t>
      </w:r>
      <w:proofErr w:type="spellEnd"/>
      <w:r>
        <w:t xml:space="preserve"> и </w:t>
      </w:r>
      <w:proofErr w:type="spellStart"/>
      <w:r>
        <w:t>онкореабилитация</w:t>
      </w:r>
      <w:proofErr w:type="spellEnd"/>
      <w:r>
        <w:t xml:space="preserve"> </w:t>
      </w:r>
    </w:p>
    <w:p w:rsidR="00AA0F84" w:rsidRDefault="00A161F5">
      <w:pPr>
        <w:ind w:left="-5" w:right="39"/>
      </w:pPr>
      <w:r>
        <w:t xml:space="preserve">-Медицинская и эстетическая косметология  </w:t>
      </w:r>
    </w:p>
    <w:p w:rsidR="00AA0F84" w:rsidRDefault="00A161F5">
      <w:pPr>
        <w:ind w:left="-5" w:right="39"/>
      </w:pPr>
      <w:r>
        <w:lastRenderedPageBreak/>
        <w:t xml:space="preserve">-Факторы активного долголетия – физическая культура, спорт, здоровое </w:t>
      </w:r>
      <w:r>
        <w:t xml:space="preserve">питание, окружающая среда, ЗОЖ </w:t>
      </w:r>
    </w:p>
    <w:p w:rsidR="00AA0F84" w:rsidRDefault="00A161F5">
      <w:pPr>
        <w:spacing w:after="736"/>
        <w:ind w:left="-5" w:right="39"/>
      </w:pPr>
      <w:r>
        <w:t xml:space="preserve">-Технологии и методы традиционной медицины  </w:t>
      </w:r>
    </w:p>
    <w:p w:rsidR="00AA0F84" w:rsidRDefault="00A161F5">
      <w:pPr>
        <w:spacing w:after="0" w:line="259" w:lineRule="auto"/>
        <w:ind w:left="0" w:right="48" w:firstLine="0"/>
        <w:jc w:val="right"/>
      </w:pPr>
      <w:r>
        <w:rPr>
          <w:rFonts w:ascii="Calibri" w:eastAsia="Calibri" w:hAnsi="Calibri" w:cs="Calibri"/>
          <w:sz w:val="22"/>
        </w:rPr>
        <w:t xml:space="preserve">2 </w:t>
      </w:r>
    </w:p>
    <w:p w:rsidR="00AA0F84" w:rsidRDefault="00A161F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A0F84">
      <w:pgSz w:w="11906" w:h="16838"/>
      <w:pgMar w:top="239" w:right="373" w:bottom="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74F1D"/>
    <w:multiLevelType w:val="hybridMultilevel"/>
    <w:tmpl w:val="7F5C6726"/>
    <w:lvl w:ilvl="0" w:tplc="7B3084EA">
      <w:start w:val="1"/>
      <w:numFmt w:val="bullet"/>
      <w:lvlText w:val="-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00F57C">
      <w:start w:val="1"/>
      <w:numFmt w:val="bullet"/>
      <w:lvlText w:val="o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52CF1C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7AB432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FE3D06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1C88FE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D2317A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06EDBA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064E64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84"/>
    <w:rsid w:val="00A161F5"/>
    <w:rsid w:val="00A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6A860-D197-454F-8E82-E3174386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3" w:line="30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User</cp:lastModifiedBy>
  <cp:revision>2</cp:revision>
  <dcterms:created xsi:type="dcterms:W3CDTF">2020-01-20T08:08:00Z</dcterms:created>
  <dcterms:modified xsi:type="dcterms:W3CDTF">2020-01-20T08:08:00Z</dcterms:modified>
</cp:coreProperties>
</file>