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Онлайн-вебинар по неврологии в рамках проекта МОСКОВСКИЙ ВРАЧ «Персонализированное лечение неврологических заболеваний»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27 мая 2020 года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состоится 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«Персонализированное лечение неврологических заболеваний»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Организаторами мероприятия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ФГБУ «Федеральный центр мозга и нейротехнологий» МЗ РФ;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Кафедра неврологии, нейрохирургии и медицинской генетики лечебного факультета 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ОМО по неврологии ДЗМ;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ООО «Интегрити» – технический организатор.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Вебинар будет проходить в онлайн-режиме, что позволит принять в нём участие неврологам и врачам смежных специальностей со всей страны.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лекциями и разборами клинических ситуаций выступят представители ведущих неврологических кафедр: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Сергей Георгиевич Бурд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(руководитель отдела эпилепсии и пароксизмальных состояний ФГБУ «Федеральный центр мозга и нейротехнологий» МЗ РФ, профессор кафедры неврологии, нейрохирургии и медицинской генетики лечебного факультета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Анна Николаевна Боголепова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(профессор кафедры неврологии, нейрохирургии и медицинской генетики ФГАОУ ВО РНИМУ им. Н. И. Пирогова МЗ РФ, д.м.н.),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Марина Николаевна Дадашева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(профессор кафедры общей врачебной практики (семейной медицины) ГБУЗ МО «Московский областной научно-исследовательский клинический институт им. М. Ф. Владимирского», д.м.н., г. Москва).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Предстоящий вебинар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http://med-marketing.ru/2020-1475.html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тел.: +7 (495) 641-82-39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meropriyatiya/meropriyatiya_1475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